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2331A9">
        <w:rPr>
          <w:b/>
          <w:sz w:val="24"/>
          <w:szCs w:val="24"/>
        </w:rPr>
        <w:t>строительного песка</w:t>
      </w:r>
      <w:r w:rsidR="00822E1C">
        <w:rPr>
          <w:b/>
          <w:sz w:val="24"/>
          <w:szCs w:val="24"/>
        </w:rPr>
        <w:t xml:space="preserve"> </w:t>
      </w:r>
      <w:r w:rsidRPr="00F02F3F">
        <w:rPr>
          <w:b/>
          <w:sz w:val="24"/>
          <w:szCs w:val="24"/>
        </w:rPr>
        <w:t>«</w:t>
      </w:r>
      <w:proofErr w:type="spellStart"/>
      <w:r w:rsidR="002331A9">
        <w:rPr>
          <w:b/>
          <w:sz w:val="24"/>
          <w:szCs w:val="24"/>
        </w:rPr>
        <w:t>Бешбадам</w:t>
      </w:r>
      <w:proofErr w:type="spellEnd"/>
      <w:r w:rsidR="002331A9">
        <w:rPr>
          <w:b/>
          <w:sz w:val="24"/>
          <w:szCs w:val="24"/>
        </w:rPr>
        <w:t>»</w:t>
      </w:r>
      <w:r w:rsidRPr="00F02F3F">
        <w:rPr>
          <w:b/>
          <w:sz w:val="24"/>
          <w:szCs w:val="24"/>
        </w:rPr>
        <w:t>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11CCF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F11CCF" w:rsidRPr="00497214">
        <w:rPr>
          <w:rStyle w:val="FontStyle16"/>
          <w:rFonts w:eastAsia="Gungsuh"/>
          <w:sz w:val="24"/>
          <w:szCs w:val="24"/>
        </w:rPr>
        <w:t xml:space="preserve"> 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="002F0409">
        <w:rPr>
          <w:rFonts w:ascii="Times New Roman" w:eastAsiaTheme="minorHAnsi" w:hAnsi="Times New Roman" w:cs="Times New Roman"/>
          <w:sz w:val="24"/>
          <w:szCs w:val="24"/>
        </w:rPr>
        <w:t xml:space="preserve"> КР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</w:t>
      </w:r>
      <w:r w:rsidR="002331A9">
        <w:rPr>
          <w:sz w:val="24"/>
          <w:szCs w:val="24"/>
        </w:rPr>
        <w:t>строительного песка</w:t>
      </w:r>
      <w:r w:rsidRPr="00F02F3F">
        <w:rPr>
          <w:sz w:val="24"/>
          <w:szCs w:val="24"/>
        </w:rPr>
        <w:t xml:space="preserve"> «</w:t>
      </w:r>
      <w:proofErr w:type="spellStart"/>
      <w:r w:rsidR="002331A9">
        <w:rPr>
          <w:sz w:val="24"/>
          <w:szCs w:val="24"/>
        </w:rPr>
        <w:t>Бешбадам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proofErr w:type="spellStart"/>
      <w:r w:rsidR="002331A9">
        <w:rPr>
          <w:sz w:val="24"/>
          <w:szCs w:val="24"/>
        </w:rPr>
        <w:t>Бешбадам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</w:t>
      </w:r>
      <w:r w:rsidR="002331A9">
        <w:rPr>
          <w:sz w:val="24"/>
          <w:szCs w:val="24"/>
        </w:rPr>
        <w:t>строительный песок</w:t>
      </w:r>
      <w:r w:rsidRPr="00F02F3F">
        <w:rPr>
          <w:sz w:val="24"/>
          <w:szCs w:val="24"/>
        </w:rPr>
        <w:t xml:space="preserve">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="002F0409">
        <w:rPr>
          <w:sz w:val="24"/>
          <w:szCs w:val="24"/>
        </w:rPr>
        <w:t xml:space="preserve"> для проведения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331A9">
            <w:pPr>
              <w:jc w:val="center"/>
            </w:pPr>
            <w:r w:rsidRPr="00423F5D">
              <w:t xml:space="preserve">13322051.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331A9" w:rsidP="002331A9">
            <w:pPr>
              <w:jc w:val="center"/>
            </w:pPr>
            <w:r w:rsidRPr="00423F5D">
              <w:rPr>
                <w:lang w:val="en-US"/>
              </w:rPr>
              <w:t xml:space="preserve">4478252.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t>13322671.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4478124.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t>13322347.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4478212.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t>13322368.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4478036.</w:t>
            </w:r>
          </w:p>
        </w:tc>
      </w:tr>
      <w:tr w:rsidR="002331A9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 w:rsidRPr="00423F5D">
              <w:t>13322653.</w:t>
            </w:r>
          </w:p>
        </w:tc>
        <w:tc>
          <w:tcPr>
            <w:tcW w:w="1595" w:type="dxa"/>
            <w:shd w:val="clear" w:color="auto" w:fill="auto"/>
          </w:tcPr>
          <w:p w:rsidR="002331A9" w:rsidRPr="00B16A6B" w:rsidRDefault="002331A9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4478244.</w:t>
            </w:r>
          </w:p>
        </w:tc>
        <w:tc>
          <w:tcPr>
            <w:tcW w:w="921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 w:rsidRPr="00423F5D">
              <w:t>13322012.</w:t>
            </w:r>
          </w:p>
        </w:tc>
        <w:tc>
          <w:tcPr>
            <w:tcW w:w="1596" w:type="dxa"/>
            <w:shd w:val="clear" w:color="auto" w:fill="auto"/>
          </w:tcPr>
          <w:p w:rsidR="002331A9" w:rsidRPr="00B16A6B" w:rsidRDefault="002331A9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4478097.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911870">
              <w:rPr>
                <w:b/>
              </w:rPr>
              <w:t>10,0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46113B">
        <w:rPr>
          <w:i/>
          <w:sz w:val="24"/>
          <w:szCs w:val="24"/>
        </w:rPr>
        <w:t>К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-1</w:t>
      </w:r>
      <w:r w:rsidR="0046113B">
        <w:rPr>
          <w:i/>
          <w:sz w:val="24"/>
          <w:szCs w:val="24"/>
        </w:rPr>
        <w:t>22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D32EBD" w:rsidRPr="00D32EBD" w:rsidRDefault="00D32EBD" w:rsidP="00D32EBD">
      <w:pPr>
        <w:ind w:firstLine="709"/>
        <w:jc w:val="both"/>
        <w:rPr>
          <w:sz w:val="24"/>
          <w:szCs w:val="24"/>
        </w:rPr>
      </w:pPr>
      <w:r w:rsidRPr="00D32EBD">
        <w:rPr>
          <w:sz w:val="24"/>
          <w:szCs w:val="24"/>
        </w:rPr>
        <w:t xml:space="preserve">Месторождение песка </w:t>
      </w:r>
      <w:proofErr w:type="spellStart"/>
      <w:r w:rsidRPr="00D32EBD">
        <w:rPr>
          <w:sz w:val="24"/>
          <w:szCs w:val="24"/>
        </w:rPr>
        <w:t>Ошское</w:t>
      </w:r>
      <w:proofErr w:type="spellEnd"/>
      <w:r w:rsidRPr="00D32EBD">
        <w:rPr>
          <w:sz w:val="24"/>
          <w:szCs w:val="24"/>
        </w:rPr>
        <w:t xml:space="preserve"> изучалось в 1962-63 гг. </w:t>
      </w:r>
      <w:proofErr w:type="spellStart"/>
      <w:r w:rsidRPr="00D32EBD">
        <w:rPr>
          <w:sz w:val="24"/>
          <w:szCs w:val="24"/>
        </w:rPr>
        <w:t>Ошской</w:t>
      </w:r>
      <w:proofErr w:type="spellEnd"/>
      <w:r w:rsidRPr="00D32EBD">
        <w:rPr>
          <w:sz w:val="24"/>
          <w:szCs w:val="24"/>
        </w:rPr>
        <w:t xml:space="preserve"> ГРП Южно-Кыргызской геологической экспедицией. На площади месторождения проведены поисковые работы и предварительная разведка, по результатам которых выделено три перспективных участка.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геологическом строении месторождения принимают участие палеозойские, мезозойские и кайнозойские отложения.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По данным поисково-оценочных работ и предыдущих исследований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Ошское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месторождение песков имеет благоприятные гидрогеологические условия.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"Промышленный", являющийся полезной толщей, лежит, собственно, на поверхности, перекрываясь незначительной толщей меловых отложений и четвертичных лессовидными суглинками.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Ошское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месторождение песка, сложено глинистыми, песчанистыми и обломочными породами.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Практический инженерный интерес представляет лишь пласт песка "Промышленный" и те породы, которые перекрывают его.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сложен уплотненным песком, который местами может образовывать крутые откосы, устойчивые в течение длительного времени.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b/>
          <w:sz w:val="24"/>
          <w:szCs w:val="24"/>
        </w:rPr>
        <w:t>С целью всестороннего изучения качественных и технологических показа</w:t>
      </w:r>
      <w:r w:rsidRPr="00D32EBD">
        <w:rPr>
          <w:rFonts w:ascii="Times New Roman" w:hAnsi="Times New Roman" w:cs="Times New Roman"/>
          <w:sz w:val="24"/>
          <w:szCs w:val="24"/>
        </w:rPr>
        <w:t>телей песков первого участка был выполнен достаточный объём лабораторных и технологических испытаний. Качественные показатели песка изучались по 114 рядовым, двум технологическим пробам.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Химический состав песков для строительных целей обычно не регламентируется. Исключение составляет лишь содержание сернокислых и сернистых соединений в пересчете на SO</w:t>
      </w:r>
      <w:r w:rsidRPr="00D32E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 xml:space="preserve"> которое должно составлять не более 1%.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Качественная характеристика пласта песка "Промышленный" приводится по данным исследований поисковых и разведочных работ, выполненных в 1962-63 гг. Данные лабораторных исследований песков, следующие: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1.</w:t>
      </w:r>
      <w:r w:rsidRPr="00D32EBD">
        <w:rPr>
          <w:rFonts w:ascii="Times New Roman" w:hAnsi="Times New Roman" w:cs="Times New Roman"/>
          <w:sz w:val="24"/>
          <w:szCs w:val="24"/>
        </w:rPr>
        <w:tab/>
        <w:t xml:space="preserve">Модуль крупности песка колеблется от 0,9 мм до 3,2 мм и подавляющую часть (50%) составляет группа мелких песков. Содержание зерен размером менее 0,14 мм </w:t>
      </w:r>
      <w:r w:rsidRPr="00D32EBD">
        <w:rPr>
          <w:rFonts w:ascii="Times New Roman" w:hAnsi="Times New Roman" w:cs="Times New Roman"/>
          <w:sz w:val="24"/>
          <w:szCs w:val="24"/>
        </w:rPr>
        <w:lastRenderedPageBreak/>
        <w:t>не превышает 10% и зерен гравия размером более 10 мм не установлено.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2.</w:t>
      </w:r>
      <w:r w:rsidRPr="00D32EBD">
        <w:rPr>
          <w:rFonts w:ascii="Times New Roman" w:hAnsi="Times New Roman" w:cs="Times New Roman"/>
          <w:sz w:val="24"/>
          <w:szCs w:val="24"/>
        </w:rPr>
        <w:tab/>
        <w:t>Загрязненность песка глинистыми, илистыми и пылевидными частицами менее загрязнен и в среднем составляет 10%, что допустимо для строительных растворов.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3.</w:t>
      </w:r>
      <w:r w:rsidRPr="00D32EBD">
        <w:rPr>
          <w:rFonts w:ascii="Times New Roman" w:hAnsi="Times New Roman" w:cs="Times New Roman"/>
          <w:sz w:val="24"/>
          <w:szCs w:val="24"/>
        </w:rPr>
        <w:tab/>
        <w:t>Величина приращения объема при набухании находится в прямой зависимости от величин содержания глинистых и пылеватых частиц в песке и ее значение не превышает 5%.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4.</w:t>
      </w:r>
      <w:r w:rsidRPr="00D32EBD">
        <w:rPr>
          <w:rFonts w:ascii="Times New Roman" w:hAnsi="Times New Roman" w:cs="Times New Roman"/>
          <w:sz w:val="24"/>
          <w:szCs w:val="24"/>
        </w:rPr>
        <w:tab/>
        <w:t>Объемный вес песка по данным лабораторных определений колеблется от 1265 до 1400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 Средневзвешенная величина объемного веса составляет 1383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</w:t>
      </w:r>
    </w:p>
    <w:p w:rsidR="00D32EBD" w:rsidRPr="00D32EBD" w:rsidRDefault="00D32EBD" w:rsidP="00D32EBD">
      <w:pPr>
        <w:pStyle w:val="3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По минеральному составу пески состоят из зерен кварца (29,9-79%), полевого шпата (20-70%) и относятся к группе полевошпатово-кварцевых. Зерна песка имеют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полуокатанные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очертания.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химическом составе песков пласта "Промышленный" содержание кремнезема составляет 74-88%, глинозема – 0,45-8,93%.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по производству бетона установлено, что пески участка перед производством требуют отсева и промывки от глинистых и пылевидных частиц, что необходимо для сокращения расхода цемента. Получен бетон марки "М-200".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на предмет пригодности для приготовления растворов установлена возможность получения из песков участка, с применением цемента марки "400", растворов марки "75" и "100", твердеющих на воздухе и в воде.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Таким образом, технологическими испытаниями песка пласта "Промышленный» установлено, что пески пригодны для приготовления растворов М-100-75 и производства бетонов М-200 при следующих условиях: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1)</w:t>
      </w:r>
      <w:r w:rsidRPr="00D32EBD">
        <w:rPr>
          <w:rFonts w:ascii="Times New Roman" w:hAnsi="Times New Roman" w:cs="Times New Roman"/>
          <w:sz w:val="24"/>
          <w:szCs w:val="24"/>
        </w:rPr>
        <w:tab/>
        <w:t>необходим отмыв песка от глинистых, илистых и пылеватых частиц;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производства растворов необходим предварительный отсев песка через сито 55 мм;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бетона М-200 из песка, гравия и цемента М-400 рекомендуется состав 1:1, 74:3,5 соответственно, где расход цемента составляет 350 кг на 1 м3 бетона;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строительного раствора М-75 для кладки и раствора М-100 для водных сооружений из песка и цемента М-400 рекомендуется состав 1:3, где расход цемента составляет 270 кг на 1 м3 раствора.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Кроме того, на месторождении были выполнены маршрутная гамма-съемка и гамма-профилирование всех горных выработок с целью оценки на радиоактивность полезной толщи и вмещающих пород.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Комплексом радиометрических исследований установлено, что породы, перекрывающие пласт песка, имеют радиоактивность от 17,5 до 25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/час, что соответствует удельной эффективности естественных радионуклидов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=100-150 Бк/кг, при естественном природном фоне 20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/час, что соответствует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>=92-150 Бк/кг.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Согласно ГОСТа 8736-93 породы, слагающие месторождение, относятся к 1 классу по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ЛИРГу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до 370 Бк/кг) и могут применяться в строительном деле без ограничения.</w:t>
      </w: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D158C9" w:rsidRDefault="00D158C9" w:rsidP="00D158C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D158C9" w:rsidRPr="00741D5F" w:rsidRDefault="00D158C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20 сентября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D83497" w:rsidRDefault="00D83497" w:rsidP="00D83497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26 июля 2024 года по 09 сентября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D83497" w:rsidRDefault="00D83497" w:rsidP="00D83497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D83497" w:rsidRDefault="00D83497" w:rsidP="00D83497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lastRenderedPageBreak/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1</w:t>
      </w:r>
      <w:r w:rsidR="00D9097C" w:rsidRPr="00D9097C">
        <w:rPr>
          <w:rStyle w:val="FontStyle16"/>
          <w:rFonts w:eastAsia="Gungsuh"/>
          <w:b/>
          <w:sz w:val="24"/>
          <w:szCs w:val="24"/>
        </w:rPr>
        <w:t>0 000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D9097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D9097C">
        <w:rPr>
          <w:rStyle w:val="FontStyle16"/>
          <w:rFonts w:eastAsia="Gungsuh"/>
          <w:sz w:val="24"/>
          <w:szCs w:val="24"/>
        </w:rPr>
        <w:t>–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D9097C">
        <w:rPr>
          <w:rStyle w:val="FontStyle16"/>
          <w:rFonts w:eastAsia="Gungsuh"/>
          <w:b/>
          <w:sz w:val="24"/>
          <w:szCs w:val="24"/>
        </w:rPr>
        <w:t>1</w:t>
      </w:r>
      <w:r w:rsidR="00497214" w:rsidRPr="00D9097C">
        <w:rPr>
          <w:rStyle w:val="FontStyle16"/>
          <w:rFonts w:eastAsia="Gungsuh"/>
          <w:b/>
          <w:sz w:val="24"/>
          <w:szCs w:val="24"/>
        </w:rPr>
        <w:t>000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F11CCF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lastRenderedPageBreak/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D9097C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D9097C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F11CCF">
        <w:rPr>
          <w:rStyle w:val="FontStyle16"/>
          <w:rFonts w:eastAsia="Gungsuh"/>
          <w:sz w:val="24"/>
          <w:szCs w:val="24"/>
        </w:rPr>
        <w:t>3120</w:t>
      </w:r>
      <w:r w:rsidRPr="00D909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D9097C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D9097C">
        <w:rPr>
          <w:rStyle w:val="FontStyle16"/>
          <w:rFonts w:eastAsia="Gungsuh"/>
          <w:b/>
          <w:sz w:val="24"/>
          <w:szCs w:val="24"/>
        </w:rPr>
        <w:t>11.</w:t>
      </w:r>
      <w:r w:rsidRPr="00D9097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</w:t>
      </w:r>
      <w:r w:rsidR="00D9097C" w:rsidRPr="00D9097C">
        <w:rPr>
          <w:rStyle w:val="FontStyle16"/>
          <w:rFonts w:eastAsia="Gungsuh"/>
          <w:b/>
          <w:sz w:val="24"/>
          <w:szCs w:val="24"/>
        </w:rPr>
        <w:t>3</w:t>
      </w:r>
      <w:r w:rsidR="00F11CCF">
        <w:rPr>
          <w:rStyle w:val="FontStyle16"/>
          <w:rFonts w:eastAsia="Gungsuh"/>
          <w:b/>
          <w:sz w:val="24"/>
          <w:szCs w:val="24"/>
        </w:rPr>
        <w:t>00</w:t>
      </w:r>
      <w:r w:rsidRPr="00D9097C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D9097C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D9097C" w:rsidRPr="00D9097C">
        <w:rPr>
          <w:rStyle w:val="FontStyle16"/>
          <w:rFonts w:eastAsia="Gungsuh"/>
          <w:sz w:val="24"/>
          <w:szCs w:val="24"/>
        </w:rPr>
        <w:t>3</w:t>
      </w:r>
      <w:r w:rsidR="00F11CCF">
        <w:rPr>
          <w:rStyle w:val="FontStyle16"/>
          <w:rFonts w:eastAsia="Gungsuh"/>
          <w:sz w:val="24"/>
          <w:szCs w:val="24"/>
        </w:rPr>
        <w:t>1 200</w:t>
      </w:r>
      <w:r w:rsidRPr="00D909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D9097C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D9097C">
        <w:rPr>
          <w:rStyle w:val="FontStyle16"/>
          <w:rFonts w:eastAsia="Gungsuh"/>
          <w:b/>
          <w:sz w:val="24"/>
          <w:szCs w:val="24"/>
        </w:rPr>
        <w:t>12.</w:t>
      </w:r>
      <w:r w:rsidRPr="00D9097C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1306D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F41199" w:rsidRPr="00B1306D" w:rsidRDefault="00F41199" w:rsidP="00F41199">
      <w:pPr>
        <w:rPr>
          <w:color w:val="FF0000"/>
          <w:sz w:val="26"/>
          <w:szCs w:val="26"/>
        </w:rPr>
      </w:pPr>
    </w:p>
    <w:p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63E7A"/>
    <w:rsid w:val="001F1467"/>
    <w:rsid w:val="00227DC0"/>
    <w:rsid w:val="002331A9"/>
    <w:rsid w:val="00256C9F"/>
    <w:rsid w:val="002B5BDD"/>
    <w:rsid w:val="002C1641"/>
    <w:rsid w:val="002D33D4"/>
    <w:rsid w:val="002F0409"/>
    <w:rsid w:val="00347AED"/>
    <w:rsid w:val="003737F6"/>
    <w:rsid w:val="003B77A5"/>
    <w:rsid w:val="0046113B"/>
    <w:rsid w:val="00491C39"/>
    <w:rsid w:val="00497214"/>
    <w:rsid w:val="004D06B3"/>
    <w:rsid w:val="00507BD6"/>
    <w:rsid w:val="00527810"/>
    <w:rsid w:val="005713CF"/>
    <w:rsid w:val="005B276A"/>
    <w:rsid w:val="005D1A18"/>
    <w:rsid w:val="005D471F"/>
    <w:rsid w:val="00631751"/>
    <w:rsid w:val="00741D5F"/>
    <w:rsid w:val="007B36C0"/>
    <w:rsid w:val="007F4429"/>
    <w:rsid w:val="00822E1C"/>
    <w:rsid w:val="00861DB2"/>
    <w:rsid w:val="00866F28"/>
    <w:rsid w:val="008B5D79"/>
    <w:rsid w:val="008B5F30"/>
    <w:rsid w:val="00911870"/>
    <w:rsid w:val="009D7944"/>
    <w:rsid w:val="00A4338F"/>
    <w:rsid w:val="00AB2602"/>
    <w:rsid w:val="00B14353"/>
    <w:rsid w:val="00B16A6B"/>
    <w:rsid w:val="00C162D5"/>
    <w:rsid w:val="00C330C2"/>
    <w:rsid w:val="00C415D3"/>
    <w:rsid w:val="00CE17CA"/>
    <w:rsid w:val="00D158C9"/>
    <w:rsid w:val="00D32EBD"/>
    <w:rsid w:val="00D77A16"/>
    <w:rsid w:val="00D83497"/>
    <w:rsid w:val="00D9097C"/>
    <w:rsid w:val="00DC3883"/>
    <w:rsid w:val="00E668FF"/>
    <w:rsid w:val="00E705A5"/>
    <w:rsid w:val="00E81CD8"/>
    <w:rsid w:val="00ED1913"/>
    <w:rsid w:val="00F02F3F"/>
    <w:rsid w:val="00F11CCF"/>
    <w:rsid w:val="00F41199"/>
    <w:rsid w:val="00F522C2"/>
    <w:rsid w:val="00F6166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64</cp:revision>
  <cp:lastPrinted>2022-07-01T05:35:00Z</cp:lastPrinted>
  <dcterms:created xsi:type="dcterms:W3CDTF">2021-11-17T03:23:00Z</dcterms:created>
  <dcterms:modified xsi:type="dcterms:W3CDTF">2024-08-22T10:20:00Z</dcterms:modified>
</cp:coreProperties>
</file>